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D9D" w:rsidRDefault="008F6D9D" w:rsidP="008F6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F6D9D">
        <w:rPr>
          <w:rFonts w:ascii="Times New Roman" w:hAnsi="Times New Roman" w:cs="Times New Roman"/>
          <w:b/>
          <w:sz w:val="28"/>
          <w:szCs w:val="28"/>
        </w:rPr>
        <w:t>ПЕРЕДВИЖЕНИЯ В НАСТОЛЬНОМ ТЕННИСЕ</w:t>
      </w:r>
    </w:p>
    <w:p w:rsidR="008F6D9D" w:rsidRPr="008F6D9D" w:rsidRDefault="008F6D9D" w:rsidP="008F6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Передвижения </w:t>
      </w:r>
      <w:r w:rsidRPr="008F6D9D">
        <w:rPr>
          <w:rFonts w:ascii="Times New Roman" w:hAnsi="Times New Roman" w:cs="Times New Roman"/>
          <w:sz w:val="28"/>
          <w:szCs w:val="28"/>
        </w:rPr>
        <w:t>– важная составляющая часть техники игры. Под работой ног мы понимаем выполнение тех движений, которые связаны с перемещениями с целью обработки мяча. Эти движения в  процессе перемещения могут быть хорошо заметны глазу, развиваться в пределах значительного пространства, но могут быть и едва  заметными, выражающимися лишь в переносе центра тяжести тела.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Правильная работа ног позволяет игроку занять удобное положение для уверенной и безошибочной обработки мяча и вложить в удар больше энергии. Хорошая работа ног является следствием отчасти способностей, отчасти же  — тренировок.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F6D9D">
        <w:rPr>
          <w:rFonts w:ascii="Times New Roman" w:hAnsi="Times New Roman" w:cs="Times New Roman"/>
          <w:sz w:val="28"/>
          <w:szCs w:val="28"/>
        </w:rPr>
        <w:t>Работе ног необходимо учить и её надо отрабатывать с самого начала. Передвижения в настольном теннисе должны осуществляться в результате гармоничного взаимодействия всех частей тела, благодаря чему туловище, голова и конечности принимают в пространстве положение, оптимальное с точки зрения исполнения данного технического элемента.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Таким образом, в настольном теннисе термин «работа ног» означает движение не только ног, но и всего тела, когда каждая его часть функционирует в соответствии с определённой целью.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 xml:space="preserve">Первый из девяти принципов удара требует перед ударом занять правильную позицию, т.е. начать удар с движения ногами. Об </w:t>
      </w:r>
      <w:proofErr w:type="gramStart"/>
      <w:r w:rsidRPr="008F6D9D">
        <w:rPr>
          <w:rFonts w:ascii="Times New Roman" w:hAnsi="Times New Roman" w:cs="Times New Roman"/>
          <w:sz w:val="28"/>
          <w:szCs w:val="28"/>
        </w:rPr>
        <w:t>опережающей</w:t>
      </w:r>
      <w:proofErr w:type="gramEnd"/>
      <w:r w:rsidRPr="008F6D9D">
        <w:rPr>
          <w:rFonts w:ascii="Times New Roman" w:hAnsi="Times New Roman" w:cs="Times New Roman"/>
          <w:sz w:val="28"/>
          <w:szCs w:val="28"/>
        </w:rPr>
        <w:t xml:space="preserve"> работе ног не вспоминает только ленивый, так как это умение играет важнейшую роль и непросто в усвоении. Оно в некоторой степени идет вразрез с нашими природными инстинктами, которые «совращают» нас потянуться к мячу рукой. Тем не менее, если умение занять правильную позицию перед ударом должным образом не освоено, о больших успехах в настольном теннисе мечтать не приходится.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 xml:space="preserve">Очевидно, что в такой быстрой игре при молниеносно и непредсказуемо меняющейся ситуации выполнить удар из оптимального положения весьма непросто. Но при обучении необходимо стремиться </w:t>
      </w:r>
      <w:proofErr w:type="gramStart"/>
      <w:r w:rsidRPr="008F6D9D">
        <w:rPr>
          <w:rFonts w:ascii="Times New Roman" w:hAnsi="Times New Roman" w:cs="Times New Roman"/>
          <w:sz w:val="28"/>
          <w:szCs w:val="28"/>
        </w:rPr>
        <w:t>максимально</w:t>
      </w:r>
      <w:proofErr w:type="gramEnd"/>
      <w:r w:rsidRPr="008F6D9D">
        <w:rPr>
          <w:rFonts w:ascii="Times New Roman" w:hAnsi="Times New Roman" w:cs="Times New Roman"/>
          <w:sz w:val="28"/>
          <w:szCs w:val="28"/>
        </w:rPr>
        <w:t xml:space="preserve"> приблизиться к идеальному варианту. Поэтому самые первые шаги овладения техникой ударов должны сочетаться с обучением правильной технике передвижения.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Переучивание ребенка с закрепленным двигательным навыком, в который не встроена опережающая работа ног, довольно длительный и трудоемкий процесс, который не всегда дает положительный результат.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Передвижения в настольном теннисе совершаются: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Одношажный способ (или выпад) применяют при игре в ближней зоне для перемещения на небольшие расстояния и в защите в средней зоне.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Приставные шаги используют для перемещения вдоль стола, когда ближняя к мячу нога делает шаг к мячу, а вторая нога подтягивается до основной стойки.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F6D9D">
        <w:rPr>
          <w:rFonts w:ascii="Times New Roman" w:hAnsi="Times New Roman" w:cs="Times New Roman"/>
          <w:sz w:val="28"/>
          <w:szCs w:val="28"/>
        </w:rPr>
        <w:t>Двухшажные</w:t>
      </w:r>
      <w:proofErr w:type="spellEnd"/>
      <w:r w:rsidRPr="008F6D9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8F6D9D">
        <w:rPr>
          <w:rFonts w:ascii="Times New Roman" w:hAnsi="Times New Roman" w:cs="Times New Roman"/>
          <w:sz w:val="28"/>
          <w:szCs w:val="28"/>
        </w:rPr>
        <w:t>скрестные</w:t>
      </w:r>
      <w:proofErr w:type="spellEnd"/>
      <w:r w:rsidRPr="008F6D9D">
        <w:rPr>
          <w:rFonts w:ascii="Times New Roman" w:hAnsi="Times New Roman" w:cs="Times New Roman"/>
          <w:sz w:val="28"/>
          <w:szCs w:val="28"/>
        </w:rPr>
        <w:t xml:space="preserve">) шаги применяют при отражении косых мячей и перемещении на большие расстояния в защите в дальней зоне. При </w:t>
      </w:r>
      <w:r w:rsidRPr="008F6D9D">
        <w:rPr>
          <w:rFonts w:ascii="Times New Roman" w:hAnsi="Times New Roman" w:cs="Times New Roman"/>
          <w:sz w:val="28"/>
          <w:szCs w:val="28"/>
        </w:rPr>
        <w:lastRenderedPageBreak/>
        <w:t xml:space="preserve">этом начинает движение в направлении мяча дальняя нога, которая как бы перекрещивается с </w:t>
      </w:r>
      <w:proofErr w:type="gramStart"/>
      <w:r w:rsidRPr="008F6D9D">
        <w:rPr>
          <w:rFonts w:ascii="Times New Roman" w:hAnsi="Times New Roman" w:cs="Times New Roman"/>
          <w:sz w:val="28"/>
          <w:szCs w:val="28"/>
        </w:rPr>
        <w:t>опорной</w:t>
      </w:r>
      <w:proofErr w:type="gramEnd"/>
      <w:r w:rsidRPr="008F6D9D">
        <w:rPr>
          <w:rFonts w:ascii="Times New Roman" w:hAnsi="Times New Roman" w:cs="Times New Roman"/>
          <w:sz w:val="28"/>
          <w:szCs w:val="28"/>
        </w:rPr>
        <w:t>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 xml:space="preserve">Прыжки. В современном настольном теннисе часто игроки используют прыжки для отражения далеко летящих мячей. Иногда встречаются разновидности и сочетания перечисленных способов: переступания, рывки с выпадом, скачки, приставные шаги с одним </w:t>
      </w:r>
      <w:proofErr w:type="spellStart"/>
      <w:r w:rsidRPr="008F6D9D">
        <w:rPr>
          <w:rFonts w:ascii="Times New Roman" w:hAnsi="Times New Roman" w:cs="Times New Roman"/>
          <w:sz w:val="28"/>
          <w:szCs w:val="28"/>
        </w:rPr>
        <w:t>скрестным</w:t>
      </w:r>
      <w:proofErr w:type="spellEnd"/>
      <w:r w:rsidRPr="008F6D9D">
        <w:rPr>
          <w:rFonts w:ascii="Times New Roman" w:hAnsi="Times New Roman" w:cs="Times New Roman"/>
          <w:sz w:val="28"/>
          <w:szCs w:val="28"/>
        </w:rPr>
        <w:t xml:space="preserve"> шагом.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 xml:space="preserve">К основным вариантам передвижений можно добавить передвижение вперед к короткому мячу и возвращение назад после срезки или скидки короткого мяча. Прием мяча из ближней зоны с трех четвертей стола игрок правша осуществляет шагом (выпадом) вперед правой ногой, и только косые мячи влево – шагом вперед левой ногой (для левшей – наоборот). Довольно большой резерв для повышения качества игры – способность </w:t>
      </w:r>
      <w:proofErr w:type="gramStart"/>
      <w:r w:rsidRPr="008F6D9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F6D9D">
        <w:rPr>
          <w:rFonts w:ascii="Times New Roman" w:hAnsi="Times New Roman" w:cs="Times New Roman"/>
          <w:sz w:val="28"/>
          <w:szCs w:val="28"/>
        </w:rPr>
        <w:t xml:space="preserve"> опережающей работе ног при приеме подач.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Общие принципы техники передвижений в настольном теннисе: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Своевременный старт при перемещениях зависит от умения наблюдать за мячом на стороне противника во время его удара. Чем раньше удается определить направление полета мяча, тем больше остается времени на передвижение.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Способ работы ног игрок выбирает в зависимости от конкретной игровой ситуации и своих индивидуальных возможностей.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Центр тяжести при перемещении должен находиться в одной плоскости, т.е. мы избегаем лишних перемещений вверх вниз.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Передвигаться целесообразно по возможности короткими шагами для обеспечения равновесия и маневренности.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Старт должен быть мощным, «взрывным», а торможение – моментальным.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При современной скорости игры сегодня невозможно выполнить распространенное в прошлом требование вернуться в исходную позицию после каждого удара. Но при освоении базовой техники на невысоких скоростях это требование желательно выполнять.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Методические рекомендации по обучению теннисиста правильной технике передвижения: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Новичку непросто усвоить специфику передвижений в настольном теннисе, поэтому необходимо уделять работе ног не меньше внимания, чем разучиванию техники ударов, в частности использовать в большом объеме имитации различных перемещений.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Во время тренировки начинающий игрок должен выходить к каждому мячу каждый раз, даже если мяч приходит в ту же точку, что и предыдущий. Многократное повторение позволяет наработать навык.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Для обеспечения необходимого уровня передвижений ноги должны быть достаточно сильными и выносливыми. Важно, чтобы уровень физических возможностей ног теннисиста опережал начало освоения им техники передвижений.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lastRenderedPageBreak/>
        <w:t>Начинать разучивание базовых элементов работы ног можно с простейших выпадов вправо и влево, продолжая после этого осваивать остальные способы передвижений по мере изучения техники ударов.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С раннего возраста при приеме косых ударов следует учиться выходить на них наперерез линии полета мяча (т.е. по перпендикуляру к траектории – кратчайшему пути).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При занятии ударной позиции важно обеспечить правильную дистанцию по отношению к мячу, создающую оптимальные возможности для рационального удара.</w:t>
      </w:r>
    </w:p>
    <w:p w:rsidR="008F6D9D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D9D">
        <w:rPr>
          <w:rFonts w:ascii="Times New Roman" w:hAnsi="Times New Roman" w:cs="Times New Roman"/>
          <w:sz w:val="28"/>
          <w:szCs w:val="28"/>
        </w:rPr>
        <w:t>Для эффективного маневрирования необходимо с самого начала обучать начинающих спортсменов основной стойке, при которой вес тела приходится на переднюю часть стопы.</w:t>
      </w:r>
    </w:p>
    <w:p w:rsidR="001875BB" w:rsidRPr="008F6D9D" w:rsidRDefault="008F6D9D" w:rsidP="008F6D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75BB" w:rsidRPr="008F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49E"/>
    <w:multiLevelType w:val="hybridMultilevel"/>
    <w:tmpl w:val="953232C6"/>
    <w:lvl w:ilvl="0" w:tplc="3CB2C816">
      <w:start w:val="14"/>
      <w:numFmt w:val="decimal"/>
      <w:lvlText w:val="%1"/>
      <w:lvlJc w:val="left"/>
    </w:lvl>
    <w:lvl w:ilvl="1" w:tplc="AC00EAD8">
      <w:numFmt w:val="decimal"/>
      <w:lvlText w:val=""/>
      <w:lvlJc w:val="left"/>
    </w:lvl>
    <w:lvl w:ilvl="2" w:tplc="EBD036E6">
      <w:numFmt w:val="decimal"/>
      <w:lvlText w:val=""/>
      <w:lvlJc w:val="left"/>
    </w:lvl>
    <w:lvl w:ilvl="3" w:tplc="97D8CA8E">
      <w:numFmt w:val="decimal"/>
      <w:lvlText w:val=""/>
      <w:lvlJc w:val="left"/>
    </w:lvl>
    <w:lvl w:ilvl="4" w:tplc="5F0473B2">
      <w:numFmt w:val="decimal"/>
      <w:lvlText w:val=""/>
      <w:lvlJc w:val="left"/>
    </w:lvl>
    <w:lvl w:ilvl="5" w:tplc="10FE6298">
      <w:numFmt w:val="decimal"/>
      <w:lvlText w:val=""/>
      <w:lvlJc w:val="left"/>
    </w:lvl>
    <w:lvl w:ilvl="6" w:tplc="D6621774">
      <w:numFmt w:val="decimal"/>
      <w:lvlText w:val=""/>
      <w:lvlJc w:val="left"/>
    </w:lvl>
    <w:lvl w:ilvl="7" w:tplc="41DCE79C">
      <w:numFmt w:val="decimal"/>
      <w:lvlText w:val=""/>
      <w:lvlJc w:val="left"/>
    </w:lvl>
    <w:lvl w:ilvl="8" w:tplc="E3E0BA4C">
      <w:numFmt w:val="decimal"/>
      <w:lvlText w:val=""/>
      <w:lvlJc w:val="left"/>
    </w:lvl>
  </w:abstractNum>
  <w:abstractNum w:abstractNumId="1">
    <w:nsid w:val="00002833"/>
    <w:multiLevelType w:val="hybridMultilevel"/>
    <w:tmpl w:val="D19CECBA"/>
    <w:lvl w:ilvl="0" w:tplc="33D24CAE">
      <w:start w:val="13"/>
      <w:numFmt w:val="decimal"/>
      <w:lvlText w:val="%1"/>
      <w:lvlJc w:val="left"/>
    </w:lvl>
    <w:lvl w:ilvl="1" w:tplc="47DEA218">
      <w:numFmt w:val="decimal"/>
      <w:lvlText w:val=""/>
      <w:lvlJc w:val="left"/>
    </w:lvl>
    <w:lvl w:ilvl="2" w:tplc="E0C81BDC">
      <w:numFmt w:val="decimal"/>
      <w:lvlText w:val=""/>
      <w:lvlJc w:val="left"/>
    </w:lvl>
    <w:lvl w:ilvl="3" w:tplc="2416E554">
      <w:numFmt w:val="decimal"/>
      <w:lvlText w:val=""/>
      <w:lvlJc w:val="left"/>
    </w:lvl>
    <w:lvl w:ilvl="4" w:tplc="8BD4C662">
      <w:numFmt w:val="decimal"/>
      <w:lvlText w:val=""/>
      <w:lvlJc w:val="left"/>
    </w:lvl>
    <w:lvl w:ilvl="5" w:tplc="3BA20776">
      <w:numFmt w:val="decimal"/>
      <w:lvlText w:val=""/>
      <w:lvlJc w:val="left"/>
    </w:lvl>
    <w:lvl w:ilvl="6" w:tplc="B91A892C">
      <w:numFmt w:val="decimal"/>
      <w:lvlText w:val=""/>
      <w:lvlJc w:val="left"/>
    </w:lvl>
    <w:lvl w:ilvl="7" w:tplc="D9CC2414">
      <w:numFmt w:val="decimal"/>
      <w:lvlText w:val=""/>
      <w:lvlJc w:val="left"/>
    </w:lvl>
    <w:lvl w:ilvl="8" w:tplc="93CEA88A">
      <w:numFmt w:val="decimal"/>
      <w:lvlText w:val=""/>
      <w:lvlJc w:val="left"/>
    </w:lvl>
  </w:abstractNum>
  <w:abstractNum w:abstractNumId="2">
    <w:nsid w:val="00007874"/>
    <w:multiLevelType w:val="hybridMultilevel"/>
    <w:tmpl w:val="51F6DFC2"/>
    <w:lvl w:ilvl="0" w:tplc="9AEA9818">
      <w:start w:val="1"/>
      <w:numFmt w:val="bullet"/>
      <w:lvlText w:val="к"/>
      <w:lvlJc w:val="left"/>
    </w:lvl>
    <w:lvl w:ilvl="1" w:tplc="796CC47C">
      <w:start w:val="1"/>
      <w:numFmt w:val="bullet"/>
      <w:lvlText w:val="В"/>
      <w:lvlJc w:val="left"/>
    </w:lvl>
    <w:lvl w:ilvl="2" w:tplc="5D18F01E">
      <w:numFmt w:val="decimal"/>
      <w:lvlText w:val=""/>
      <w:lvlJc w:val="left"/>
    </w:lvl>
    <w:lvl w:ilvl="3" w:tplc="775C6A30">
      <w:numFmt w:val="decimal"/>
      <w:lvlText w:val=""/>
      <w:lvlJc w:val="left"/>
    </w:lvl>
    <w:lvl w:ilvl="4" w:tplc="2C46EDFC">
      <w:numFmt w:val="decimal"/>
      <w:lvlText w:val=""/>
      <w:lvlJc w:val="left"/>
    </w:lvl>
    <w:lvl w:ilvl="5" w:tplc="7C94D936">
      <w:numFmt w:val="decimal"/>
      <w:lvlText w:val=""/>
      <w:lvlJc w:val="left"/>
    </w:lvl>
    <w:lvl w:ilvl="6" w:tplc="B072B68A">
      <w:numFmt w:val="decimal"/>
      <w:lvlText w:val=""/>
      <w:lvlJc w:val="left"/>
    </w:lvl>
    <w:lvl w:ilvl="7" w:tplc="83DE80DC">
      <w:numFmt w:val="decimal"/>
      <w:lvlText w:val=""/>
      <w:lvlJc w:val="left"/>
    </w:lvl>
    <w:lvl w:ilvl="8" w:tplc="119AC516">
      <w:numFmt w:val="decimal"/>
      <w:lvlText w:val=""/>
      <w:lvlJc w:val="left"/>
    </w:lvl>
  </w:abstractNum>
  <w:abstractNum w:abstractNumId="3">
    <w:nsid w:val="1AAF4F5E"/>
    <w:multiLevelType w:val="multilevel"/>
    <w:tmpl w:val="2FCAA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1C0239"/>
    <w:multiLevelType w:val="multilevel"/>
    <w:tmpl w:val="D430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781ABE"/>
    <w:multiLevelType w:val="multilevel"/>
    <w:tmpl w:val="27B6C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6BE"/>
    <w:rsid w:val="000B135B"/>
    <w:rsid w:val="00134402"/>
    <w:rsid w:val="004766BE"/>
    <w:rsid w:val="004A2B6D"/>
    <w:rsid w:val="00567909"/>
    <w:rsid w:val="00594479"/>
    <w:rsid w:val="00833B09"/>
    <w:rsid w:val="008F6D9D"/>
    <w:rsid w:val="00C22DA7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3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B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3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3B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497986">
          <w:marLeft w:val="0"/>
          <w:marRight w:val="0"/>
          <w:marTop w:val="0"/>
          <w:marBottom w:val="0"/>
          <w:divBdr>
            <w:top w:val="none" w:sz="0" w:space="0" w:color="C67F00"/>
            <w:left w:val="none" w:sz="0" w:space="0" w:color="C67F00"/>
            <w:bottom w:val="none" w:sz="0" w:space="0" w:color="C67F00"/>
            <w:right w:val="none" w:sz="0" w:space="0" w:color="C67F00"/>
          </w:divBdr>
          <w:divsChild>
            <w:div w:id="68605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5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6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4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27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0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5</cp:revision>
  <dcterms:created xsi:type="dcterms:W3CDTF">2021-04-02T07:14:00Z</dcterms:created>
  <dcterms:modified xsi:type="dcterms:W3CDTF">2021-05-17T09:06:00Z</dcterms:modified>
</cp:coreProperties>
</file>